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107C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医疗护理员服务项目采购需求</w:t>
      </w:r>
    </w:p>
    <w:p w14:paraId="125DB49C">
      <w:pPr>
        <w:keepNext w:val="0"/>
        <w:keepLines w:val="0"/>
        <w:pageBreakBefore w:val="0"/>
        <w:widowControl w:val="0"/>
        <w:kinsoku/>
        <w:wordWrap/>
        <w:overflowPunct/>
        <w:topLinePunct w:val="0"/>
        <w:autoSpaceDE/>
        <w:autoSpaceDN/>
        <w:bidi w:val="0"/>
        <w:adjustRightInd/>
        <w:snapToGrid/>
        <w:spacing w:line="576" w:lineRule="exact"/>
        <w:ind w:firstLine="720" w:firstLineChars="200"/>
        <w:jc w:val="center"/>
        <w:textAlignment w:val="auto"/>
        <w:rPr>
          <w:rFonts w:hint="eastAsia" w:ascii="方正小标宋简体" w:hAnsi="方正小标宋简体" w:eastAsia="方正小标宋简体" w:cs="方正小标宋简体"/>
          <w:b w:val="0"/>
          <w:bCs w:val="0"/>
          <w:color w:val="auto"/>
          <w:sz w:val="36"/>
          <w:szCs w:val="36"/>
          <w:lang w:val="en-US" w:eastAsia="zh-CN"/>
        </w:rPr>
      </w:pPr>
    </w:p>
    <w:p w14:paraId="19D9254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一、服务范围与服务区域</w:t>
      </w:r>
    </w:p>
    <w:p w14:paraId="44FCADA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服务地点：采购人院内各住院科室病区（8个住院科室，开放病床302张，根据院方需求动态调整）。</w:t>
      </w:r>
    </w:p>
    <w:p w14:paraId="4E7FAF1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服务内容：提供非医疗性生活陪护辅助服务（提供医疗护理员不少于25人），所有医疗诊疗、护理操作由采购人医护人员实施，严禁开展任何医疗执业行为。</w:t>
      </w:r>
    </w:p>
    <w:p w14:paraId="3049535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服务对象：采购人病区住院自愿聘请陪护的患者。</w:t>
      </w:r>
    </w:p>
    <w:p w14:paraId="2FBF154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二、服务期限</w:t>
      </w:r>
    </w:p>
    <w:p w14:paraId="32AD9BE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服务周期：自合同签订之日起至 2028年6月30日。</w:t>
      </w:r>
    </w:p>
    <w:p w14:paraId="1E6DAEA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三、人员准入标准</w:t>
      </w:r>
    </w:p>
    <w:p w14:paraId="07CAB0F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中标人派驻的医疗护理员必须满足以下准入条件，采购人有权审核、抽查、清退不合格人员：</w:t>
      </w:r>
    </w:p>
    <w:p w14:paraId="72AB474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年龄18--55周岁，身体健康，无传染性疾病、精神疾病、重大疾病，持有有效期内健康体检合格证明。</w:t>
      </w:r>
    </w:p>
    <w:p w14:paraId="45E9C42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无违法犯罪记录、无行业失信记录、无重大服务投诉劣迹。</w:t>
      </w:r>
    </w:p>
    <w:p w14:paraId="47B9377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完成岗前培训、院感培训及安全培训，熟悉医院规章制度。</w:t>
      </w:r>
    </w:p>
    <w:p w14:paraId="2397505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 持证上岗、统一着装、工号可查。所有派驻的医疗护理员应持有有效的医疗护理员或养老护理员岗位培训合格证书，工作服装样式、颜色方案及单位标识（Logo）设计方案，须在首次服务前至少15个工作日报采购人审核批准。采购人应在收到完整方案后7个工作日内予以书面回复，逾期未书面回复且未提出正当异议的，视为同意该方案。服装应整洁、得体，易于识别，并在显著位置印制“陪护”字样，以区别于医院医护人员。合同履行期间，不得擅自更改服装样式。</w:t>
      </w:r>
    </w:p>
    <w:p w14:paraId="37523D4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5.中标人为所有驻场人员须购买意外伤害商业保险，保障用工及运营安全。</w:t>
      </w:r>
    </w:p>
    <w:p w14:paraId="725AB5A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四、服务工作规范</w:t>
      </w:r>
    </w:p>
    <w:p w14:paraId="764BF30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医疗护理员严格在医护人员指导下开展生活照料工作，服务标准如下：</w:t>
      </w:r>
    </w:p>
    <w:p w14:paraId="382836D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生活照料：协助患者翻身、起卧、行走、如厕、洗漱、擦浴、更衣、床单位整理。</w:t>
      </w:r>
    </w:p>
    <w:p w14:paraId="754D352C">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饮食照料：协助取水、配餐、喂食、按需照顾患者进食饮水。</w:t>
      </w:r>
    </w:p>
    <w:p w14:paraId="15D00457">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送检转运：陪同患者完成院内常规检查、标本送检、病区内转运陪护。</w:t>
      </w:r>
    </w:p>
    <w:p w14:paraId="56B2A8D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 异常上报：密切观察患者精神、意识、情绪、身体异常变化，发现异常第一时间报告医护人员。</w:t>
      </w:r>
    </w:p>
    <w:p w14:paraId="0CE15010">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5. 禁止行为</w:t>
      </w:r>
    </w:p>
    <w:p w14:paraId="0CB7FE5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（1）严禁私自打针、给药、输液、换药、针灸、理疗等医疗操作；</w:t>
      </w:r>
    </w:p>
    <w:p w14:paraId="5B30EFC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（2）严禁收受患者及家属红包、礼品、小费，强制推销、加价收费；</w:t>
      </w:r>
    </w:p>
    <w:p w14:paraId="5B8089C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（3）严禁脱岗、睡岗、串岗、酒后上岗、在岗玩手机怠工；</w:t>
      </w:r>
    </w:p>
    <w:p w14:paraId="23D8FBD0">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（4）严禁与患者、家属、医护人员发生争执、争吵、肢体冲突；</w:t>
      </w:r>
    </w:p>
    <w:p w14:paraId="5F970F87">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（5）严禁泄露患者隐私、拍摄传播患者影像及病历信息。</w:t>
      </w:r>
    </w:p>
    <w:p w14:paraId="70CAEED3">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6. 应急通讯与设备要求：每位在岗陪护人员配备必要的应急通讯设备（如：统一管理的对讲机或专用呼叫手环），确保在病区内能够即时响应并联络科室护士站。同时，在迎检、评审等特殊时期，按照采购人统一部署，配备或启用特定的标识、设备或系统。上述标识、设备或系统的选型、技术标准应满足采购人院内通讯及安全要求，并经采购人确认。标识、设备或系统等由中标人出资采购、维护和更新，并承担因故障（非因采购人原因造成）导致的责任。</w:t>
      </w:r>
    </w:p>
    <w:p w14:paraId="44886E88">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五、收费管理与价格机制</w:t>
      </w:r>
    </w:p>
    <w:p w14:paraId="10D6DAC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本项目实行自负盈亏的运营模式，由中标人向服务对象收取陪护服务费用，并自主承担人力成本、管理成本及运营风险</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w:t>
      </w:r>
    </w:p>
    <w:p w14:paraId="779220D0">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收费标准遵循佛山市政府相关部门发布的关于医疗陪护服务的政府指导价或相关物价管理规定执行，且需经采购人书面确认后方可执行。在服务区域显著位置，应对收费项目、计费单位、收费</w:t>
      </w:r>
      <w:bookmarkStart w:id="0" w:name="_GoBack"/>
      <w:r>
        <w:rPr>
          <w:rFonts w:hint="eastAsia" w:ascii="Times New Roman" w:hAnsi="Times New Roman" w:eastAsia="仿宋_GB2312" w:cs="仿宋_GB2312"/>
          <w:b w:val="0"/>
          <w:bCs w:val="0"/>
          <w:color w:val="auto"/>
          <w:sz w:val="28"/>
          <w:szCs w:val="28"/>
          <w:lang w:val="en-US" w:eastAsia="zh-CN"/>
        </w:rPr>
        <w:t>标准</w:t>
      </w:r>
      <w:bookmarkEnd w:id="0"/>
      <w:r>
        <w:rPr>
          <w:rFonts w:hint="eastAsia" w:ascii="Times New Roman" w:hAnsi="Times New Roman" w:eastAsia="仿宋_GB2312" w:cs="仿宋_GB2312"/>
          <w:b w:val="0"/>
          <w:bCs w:val="0"/>
          <w:color w:val="auto"/>
          <w:sz w:val="28"/>
          <w:szCs w:val="28"/>
          <w:lang w:val="en-US" w:eastAsia="zh-CN"/>
        </w:rPr>
        <w:t>及价格监督举报电话进行公示。</w:t>
      </w:r>
    </w:p>
    <w:p w14:paraId="2BD19E8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所有费用中标人直接与患者家属自愿结算，采购人不参与收费、不代收费用、不承担价格纠纷责任。</w:t>
      </w:r>
    </w:p>
    <w:p w14:paraId="1C3ECAB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严禁乱收费、隐形收费、强制陪护、捆绑服务。一经查实，采购人有权通报、罚款（标准另行约定）、直至单方解约。</w:t>
      </w:r>
    </w:p>
    <w:p w14:paraId="27DE7C8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 服务期内陪护服务价格原则上不得上调。如因国家政策调整导致用工成本发生重大变化，可向采购人提交调价申请及成本测算依据，由采购人审核并书面决定是否同意调价及调整幅度。在采购人未书面同意前，不得擅自调价。</w:t>
      </w:r>
    </w:p>
    <w:p w14:paraId="3046717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default" w:ascii="Times New Roman" w:hAnsi="Times New Roman" w:eastAsia="仿宋_GB2312" w:cs="仿宋_GB2312"/>
          <w:b w:val="0"/>
          <w:bCs w:val="0"/>
          <w:color w:val="auto"/>
          <w:sz w:val="28"/>
          <w:szCs w:val="28"/>
          <w:highlight w:val="none"/>
          <w:lang w:val="en-US" w:eastAsia="zh-CN"/>
        </w:rPr>
      </w:pPr>
      <w:r>
        <w:rPr>
          <w:rFonts w:hint="eastAsia" w:ascii="Times New Roman" w:hAnsi="Times New Roman" w:eastAsia="仿宋_GB2312" w:cs="仿宋_GB2312"/>
          <w:b w:val="0"/>
          <w:bCs w:val="0"/>
          <w:color w:val="auto"/>
          <w:sz w:val="28"/>
          <w:szCs w:val="28"/>
          <w:highlight w:val="none"/>
          <w:lang w:val="en-US" w:eastAsia="zh-CN"/>
        </w:rPr>
        <w:t>根据上级部门关于免陪照护服务收费政策的最新导向，后期如相关政策明确，本项目可调整为采购人直接向患者收费的运营模式，中标人应无条件配合并提供对接医院收费系统的软件接口。</w:t>
      </w:r>
    </w:p>
    <w:p w14:paraId="49D88C8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六、采购人权利与义务</w:t>
      </w:r>
    </w:p>
    <w:p w14:paraId="29BCE8ED">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采购人有权对人员服务质量、院感落实、仪容风纪、投诉问题进行日常监督、检查、考核、处罚，对不符合要求的行为提出书面整改意见，中标人需在采购人规定的期限内完成整改。</w:t>
      </w:r>
    </w:p>
    <w:p w14:paraId="4081AA85">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采购人为本项目提供必要的场地管理、病区通行配合、日常工作指导。</w:t>
      </w:r>
    </w:p>
    <w:p w14:paraId="33FE6B25">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采购人负责对派驻的医疗护理员开展院感、病区管理制度的宣教，有权制定院内陪护管理细则并要求中标人严格执行。</w:t>
      </w:r>
    </w:p>
    <w:p w14:paraId="7FD5A223">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七、中标人权利与义务</w:t>
      </w:r>
    </w:p>
    <w:p w14:paraId="517AA805">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中标人为驻场陪护人员唯一用工主体，承担全部用工责任、社保、工伤、劳务纠纷、人身损害赔偿责任。</w:t>
      </w:r>
    </w:p>
    <w:p w14:paraId="1542650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中标人应设立院内现场负责人，实行24小时可联络制度，负责人员调度、投诉处理、日常管理、应急处置。</w:t>
      </w:r>
    </w:p>
    <w:p w14:paraId="4BA1499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中标人需根据采购人住院患者陪护需求，足额配置符合资质的陪护人员，确保每个病区的陪护人员数量满足患者照料需求。</w:t>
      </w:r>
    </w:p>
    <w:p w14:paraId="7ED30D2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 中标人须建立人员台账、培训台账、交接班记录，随时接受采购人检查。</w:t>
      </w:r>
    </w:p>
    <w:p w14:paraId="164162E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5. 服务期间发生患者摔伤、走失、财物丢失、服务过失纠纷等，经采购人调查认定属于中标人履职不到位、脱岗、管理失职造成的，全部责任及经济赔偿由中标人承担。采购人应确保其提供的病房设施、地面防滑、照明等基础环境符合安全标准，因采购人管理区域内的公共设施缺陷导致的事故，由采购人承担相应责任。</w:t>
      </w:r>
    </w:p>
    <w:p w14:paraId="39D5836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6. 中标人须积极配合采购人等级评审、院感检查、专项督查、节假日维稳工作。</w:t>
      </w:r>
    </w:p>
    <w:p w14:paraId="7064204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7. 信息化管理要求：为保证服务的公开、透明与可追溯，中表人应在本协议生效后30日内，在采购人院区部署并正式启用一套专业的陪护服务信息管理系统。该系统应至少具备以下核心功能：</w:t>
      </w:r>
    </w:p>
    <w:p w14:paraId="5DECB3F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（1）线上预约与下单：支持患者家属通过移动端或院内终端进行服务预约、下单和变更；</w:t>
      </w:r>
    </w:p>
    <w:p w14:paraId="0560413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（2）服务评价：支持患者家属对每位陪护人员的服务进行实时评价和投诉；</w:t>
      </w:r>
    </w:p>
    <w:p w14:paraId="73C8D6F9">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（3）质量控制：支持服务过程记录、任务追踪、异常事件上报及处理闭环，并能为采购人提供数据查询和统计报表功能；</w:t>
      </w:r>
    </w:p>
    <w:p w14:paraId="2201E27E">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（4）在线培训与考核：支持对陪护人员进行在线培训、知识库学习及考核管理，培训记录和考核结果可追溯。</w:t>
      </w:r>
    </w:p>
    <w:p w14:paraId="02F95FA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中标人应确保系统数据的真实、准确和安全，并为采购人预留监督管理的系统访问权限。该系统所产生和存储的所有数据（包括但不限于患者信息、服务记录、评价数据）的所有权归采购人所有。中标人作为数据处理者，应严格遵守《个人信息保护法》等相关法规，对数据承担保密义务，不得用于本合同约定之外的任何目的。在本协议终止后，中标人应在采购人监督下将全部数据完整移交给采购人，并彻底删除其服务器及终端上的所有数据副本。</w:t>
      </w:r>
    </w:p>
    <w:p w14:paraId="61209EE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八、考核与奖惩机制</w:t>
      </w:r>
    </w:p>
    <w:p w14:paraId="6DFF0D0A">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 xml:space="preserve">1.采购人有权依据本公告附件《月度考核评分表》中的各项标准对中标人进行月度考核，并根据考核结果采取相应的奖惩措施，包括但不限于通报、罚款（标准另行约定）及启动合同解除程序。 </w:t>
      </w:r>
    </w:p>
    <w:p w14:paraId="4A4EB7C2">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出现《月度考核评分表》中的各项标准外的有效服务投诉、违规收费、脱岗失职、医患纠纷等情况的，采购人可给予警告、罚款（标准另行约定）、限期整改、人员清退处理。一年内累计多次违规、造成医院舆情、重大负面影响的，采购人有权立即单方终止合同。</w:t>
      </w:r>
    </w:p>
    <w:p w14:paraId="785F1AE8">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default" w:ascii="Times New Roman" w:hAnsi="Times New Roman" w:eastAsia="仿宋_GB2312" w:cs="仿宋_GB2312"/>
          <w:b w:val="0"/>
          <w:bCs w:val="0"/>
          <w:color w:val="auto"/>
          <w:sz w:val="28"/>
          <w:szCs w:val="28"/>
          <w:highlight w:val="none"/>
          <w:lang w:val="en-US" w:eastAsia="zh-CN"/>
        </w:rPr>
      </w:pPr>
      <w:r>
        <w:rPr>
          <w:rFonts w:hint="eastAsia" w:ascii="Times New Roman" w:hAnsi="Times New Roman" w:eastAsia="仿宋_GB2312" w:cs="仿宋_GB2312"/>
          <w:b w:val="0"/>
          <w:bCs w:val="0"/>
          <w:color w:val="auto"/>
          <w:sz w:val="28"/>
          <w:szCs w:val="28"/>
          <w:highlight w:val="none"/>
          <w:lang w:val="en-US" w:eastAsia="zh-CN"/>
        </w:rPr>
        <w:t>3.后期如根据政策要求调整为采购人直接向患者收费的运营模式，考核标准和奖惩机制同步调整。</w:t>
      </w:r>
    </w:p>
    <w:p w14:paraId="281587AF">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九、责任划分与免责</w:t>
      </w:r>
    </w:p>
    <w:p w14:paraId="16A31717">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医疗风险、病情突变、医疗并发症、抢救治疗结果、患者自身基础疾病进展，由医院医疗体系负责，中标人不承担医疗责任。</w:t>
      </w:r>
    </w:p>
    <w:p w14:paraId="186368A6">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患者自伤、自杀、擅自离院、家属不配合护理、隐瞒病史造成的后果，由患者及家属自行承担。</w:t>
      </w:r>
    </w:p>
    <w:p w14:paraId="660F591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3. 因中标人陪护失职、管理缺失、违规操作导致的一切人身、财产损失，均由中标人全额承担。采购人因此被索赔或提起诉讼的，所有诉讼费、律师费、赔偿款、和解款均由中标人承担。</w:t>
      </w:r>
    </w:p>
    <w:p w14:paraId="0104FF26">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黑体" w:cs="黑体"/>
          <w:b w:val="0"/>
          <w:bCs w:val="0"/>
          <w:color w:val="auto"/>
          <w:sz w:val="28"/>
          <w:szCs w:val="28"/>
          <w:lang w:val="en-US" w:eastAsia="zh-CN"/>
        </w:rPr>
      </w:pPr>
      <w:r>
        <w:rPr>
          <w:rFonts w:hint="eastAsia" w:ascii="Times New Roman" w:hAnsi="Times New Roman" w:eastAsia="黑体" w:cs="黑体"/>
          <w:b w:val="0"/>
          <w:bCs w:val="0"/>
          <w:color w:val="auto"/>
          <w:sz w:val="28"/>
          <w:szCs w:val="28"/>
          <w:lang w:val="en-US" w:eastAsia="zh-CN"/>
        </w:rPr>
        <w:t>十、保密与舆情管理</w:t>
      </w:r>
    </w:p>
    <w:p w14:paraId="09DD3295">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1. 中标人及所有驻场人员必须严格保护患者隐私及医院内部管理信息，严禁私自拍摄、传播病区画面、患者信息、诊疗场景。</w:t>
      </w:r>
    </w:p>
    <w:p w14:paraId="114E04E4">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Times New Roman" w:hAnsi="Times New Roman" w:eastAsia="仿宋_GB2312" w:cs="仿宋_GB2312"/>
          <w:b w:val="0"/>
          <w:bCs w:val="0"/>
          <w:color w:val="auto"/>
          <w:sz w:val="28"/>
          <w:szCs w:val="28"/>
          <w:lang w:val="en-US" w:eastAsia="zh-CN"/>
        </w:rPr>
      </w:pPr>
      <w:r>
        <w:rPr>
          <w:rFonts w:hint="eastAsia" w:ascii="Times New Roman" w:hAnsi="Times New Roman" w:eastAsia="仿宋_GB2312" w:cs="仿宋_GB2312"/>
          <w:b w:val="0"/>
          <w:bCs w:val="0"/>
          <w:color w:val="auto"/>
          <w:sz w:val="28"/>
          <w:szCs w:val="28"/>
          <w:lang w:val="en-US" w:eastAsia="zh-CN"/>
        </w:rPr>
        <w:t>2. 发生陪护相关纠纷、投诉、舆情苗头，中标人须第一时间处置并上报采购人，不得私自对外发声、激化矛盾。</w:t>
      </w:r>
    </w:p>
    <w:p w14:paraId="7A2ABC59">
      <w:pPr>
        <w:rPr>
          <w:rFonts w:hint="default"/>
          <w:b w:val="0"/>
          <w:bCs w:val="0"/>
          <w:color w:val="auto"/>
          <w:lang w:val="en-US" w:eastAsia="zh-CN"/>
        </w:rPr>
      </w:pPr>
    </w:p>
    <w:p w14:paraId="5EAABBD2">
      <w:pPr>
        <w:rPr>
          <w:rFonts w:hint="default"/>
          <w:b w:val="0"/>
          <w:bCs w:val="0"/>
          <w:color w:val="auto"/>
          <w:lang w:val="en-US" w:eastAsia="zh-CN"/>
        </w:rPr>
      </w:pPr>
    </w:p>
    <w:p w14:paraId="1E8DBE93">
      <w:pPr>
        <w:rPr>
          <w:rFonts w:hint="default"/>
          <w:b w:val="0"/>
          <w:bCs w:val="0"/>
          <w:color w:val="auto"/>
          <w:lang w:val="en-US" w:eastAsia="zh-CN"/>
        </w:rPr>
      </w:pPr>
    </w:p>
    <w:p w14:paraId="5A6241E3">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268131C7">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270A0E50">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67AFA44D">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21CF59CA">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7C60EE2C">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6DE27E30">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79D160E6">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p>
    <w:p w14:paraId="41010CBA">
      <w:pPr>
        <w:pStyle w:val="2"/>
        <w:keepNext w:val="0"/>
        <w:keepLines w:val="0"/>
        <w:widowControl/>
        <w:suppressLineNumbers w:val="0"/>
        <w:ind w:left="0" w:firstLine="0"/>
        <w:jc w:val="center"/>
        <w:rPr>
          <w:rFonts w:hint="eastAsia" w:ascii="宋体" w:hAnsi="宋体" w:eastAsia="宋体" w:cs="宋体"/>
          <w:i w:val="0"/>
          <w:iCs w:val="0"/>
          <w:caps w:val="0"/>
          <w:color w:val="000000"/>
          <w:spacing w:val="0"/>
        </w:rPr>
      </w:pPr>
      <w:r>
        <w:rPr>
          <w:rFonts w:hint="eastAsia" w:ascii="宋体" w:hAnsi="宋体" w:eastAsia="宋体" w:cs="宋体"/>
          <w:i w:val="0"/>
          <w:iCs w:val="0"/>
          <w:caps w:val="0"/>
          <w:color w:val="000000"/>
          <w:spacing w:val="0"/>
        </w:rPr>
        <w:t>附件：医院</w:t>
      </w:r>
      <w:r>
        <w:rPr>
          <w:rFonts w:hint="eastAsia" w:cs="宋体"/>
          <w:i w:val="0"/>
          <w:iCs w:val="0"/>
          <w:caps w:val="0"/>
          <w:color w:val="000000"/>
          <w:spacing w:val="0"/>
          <w:lang w:val="en-US" w:eastAsia="zh-CN"/>
        </w:rPr>
        <w:t>医疗护理员陪护</w:t>
      </w:r>
      <w:r>
        <w:rPr>
          <w:rFonts w:hint="eastAsia" w:ascii="宋体" w:hAnsi="宋体" w:eastAsia="宋体" w:cs="宋体"/>
          <w:i w:val="0"/>
          <w:iCs w:val="0"/>
          <w:caps w:val="0"/>
          <w:color w:val="000000"/>
          <w:spacing w:val="0"/>
        </w:rPr>
        <w:t>服务月度考核评分表</w:t>
      </w:r>
    </w:p>
    <w:p w14:paraId="005894B4">
      <w:pPr>
        <w:pStyle w:val="4"/>
        <w:keepNext w:val="0"/>
        <w:keepLines w:val="0"/>
        <w:widowControl/>
        <w:suppressLineNumbers w:val="0"/>
        <w:spacing w:beforeAutospacing="0" w:afterAutospacing="0"/>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考核月份：______年______月    考核科室：____________</w:t>
      </w:r>
    </w:p>
    <w:tbl>
      <w:tblPr>
        <w:tblStyle w:val="5"/>
        <w:tblW w:w="5658" w:type="pct"/>
        <w:tblInd w:w="-549"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7"/>
        <w:gridCol w:w="4505"/>
        <w:gridCol w:w="729"/>
        <w:gridCol w:w="2603"/>
        <w:gridCol w:w="1047"/>
      </w:tblGrid>
      <w:tr w14:paraId="2FAD3E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324" w:hRule="atLeast"/>
          <w:tblHeader/>
        </w:trPr>
        <w:tc>
          <w:tcPr>
            <w:tcW w:w="407" w:type="pct"/>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77ABFB29">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序号</w:t>
            </w:r>
          </w:p>
        </w:tc>
        <w:tc>
          <w:tcPr>
            <w:tcW w:w="2329" w:type="pct"/>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18C772E9">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内容</w:t>
            </w:r>
          </w:p>
        </w:tc>
        <w:tc>
          <w:tcPr>
            <w:tcW w:w="377" w:type="pct"/>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600229B6">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分数</w:t>
            </w:r>
          </w:p>
        </w:tc>
        <w:tc>
          <w:tcPr>
            <w:tcW w:w="1344" w:type="pct"/>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1F553198">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备注</w:t>
            </w:r>
          </w:p>
        </w:tc>
        <w:tc>
          <w:tcPr>
            <w:tcW w:w="540" w:type="pct"/>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4A8B191C">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评分</w:t>
            </w:r>
          </w:p>
        </w:tc>
      </w:tr>
      <w:tr w14:paraId="03F540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5000" w:type="pct"/>
            <w:gridSpan w:val="5"/>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395C87EE">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一、人员管理（25分）</w:t>
            </w:r>
          </w:p>
        </w:tc>
      </w:tr>
      <w:tr w14:paraId="1C22C2D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78B026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7E9D5F5">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人员全部实名备案、台账齐全</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9EF4A93">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7717C1F">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缺1人扣2分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34FB3AB">
            <w:pPr>
              <w:jc w:val="center"/>
              <w:rPr>
                <w:rFonts w:hint="eastAsia" w:ascii="宋体"/>
                <w:sz w:val="24"/>
                <w:szCs w:val="24"/>
              </w:rPr>
            </w:pPr>
          </w:p>
        </w:tc>
      </w:tr>
      <w:tr w14:paraId="0FBA735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531776B">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2</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40C8263">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全员体检合格、无带病上岗</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1450C2D">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F0AE4C3">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不合格0分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06BC9BE">
            <w:pPr>
              <w:jc w:val="center"/>
              <w:rPr>
                <w:rFonts w:hint="eastAsia" w:ascii="宋体"/>
                <w:sz w:val="24"/>
                <w:szCs w:val="24"/>
              </w:rPr>
            </w:pPr>
          </w:p>
        </w:tc>
      </w:tr>
      <w:tr w14:paraId="6A868D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47" w:hRule="atLeast"/>
        </w:trPr>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05C7C3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3</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15BD339">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b w:val="0"/>
                <w:bCs w:val="0"/>
                <w:color w:val="000000" w:themeColor="text1"/>
                <w:kern w:val="0"/>
                <w:sz w:val="21"/>
                <w:szCs w:val="21"/>
                <w:lang w:val="en-US" w:eastAsia="zh-CN" w:bidi="ar"/>
                <w14:textFill>
                  <w14:solidFill>
                    <w14:schemeClr w14:val="tx1"/>
                  </w14:solidFill>
                </w14:textFill>
              </w:rPr>
              <w:t>统一着装、佩戴工牌（服装样式符合甲方要求）</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0301AC8">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CEEC4AA">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发现不规范1次扣1分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058BEB3">
            <w:pPr>
              <w:jc w:val="center"/>
              <w:rPr>
                <w:rFonts w:hint="eastAsia" w:ascii="宋体"/>
                <w:sz w:val="24"/>
                <w:szCs w:val="24"/>
              </w:rPr>
            </w:pPr>
          </w:p>
        </w:tc>
      </w:tr>
      <w:tr w14:paraId="216446C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05FD4A7">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4</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F814BE5">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b w:val="0"/>
                <w:bCs w:val="0"/>
                <w:color w:val="000000" w:themeColor="text1"/>
                <w:kern w:val="0"/>
                <w:sz w:val="24"/>
                <w:szCs w:val="24"/>
                <w:lang w:val="en-US" w:eastAsia="zh-CN" w:bidi="ar"/>
                <w14:textFill>
                  <w14:solidFill>
                    <w14:schemeClr w14:val="tx1"/>
                  </w14:solidFill>
                </w14:textFill>
              </w:rPr>
              <w:t>持证上岗、无私自换岗</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9890026">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8113384">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违规一次</w:t>
            </w: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AE8F277">
            <w:pPr>
              <w:jc w:val="center"/>
              <w:rPr>
                <w:rFonts w:hint="eastAsia" w:ascii="宋体"/>
                <w:sz w:val="24"/>
                <w:szCs w:val="24"/>
              </w:rPr>
            </w:pPr>
          </w:p>
        </w:tc>
      </w:tr>
      <w:tr w14:paraId="5C2177E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BAEBC1E">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980D1CF">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驻场负责人在岗、可随时联络</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109D512">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1ECD50C">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失联一次扣3分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7F13A7A">
            <w:pPr>
              <w:jc w:val="center"/>
              <w:rPr>
                <w:rFonts w:hint="eastAsia" w:ascii="宋体"/>
                <w:sz w:val="24"/>
                <w:szCs w:val="24"/>
              </w:rPr>
            </w:pPr>
          </w:p>
        </w:tc>
      </w:tr>
      <w:tr w14:paraId="0E0244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5"/>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4FBDD1D4">
            <w:pPr>
              <w:keepNext w:val="0"/>
              <w:keepLines w:val="0"/>
              <w:widowControl/>
              <w:suppressLineNumbers w:val="0"/>
              <w:jc w:val="center"/>
              <w:textAlignment w:val="center"/>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二、服务规范（30分）</w:t>
            </w:r>
          </w:p>
        </w:tc>
      </w:tr>
      <w:tr w14:paraId="4A3AD2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19AA946">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6EDC0B2">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服务态度良好、无争吵投诉</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6FE05FB">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8</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FF11ABA">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有效投诉1次扣5分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D457350">
            <w:pPr>
              <w:jc w:val="center"/>
              <w:rPr>
                <w:rFonts w:hint="eastAsia" w:ascii="宋体"/>
                <w:sz w:val="24"/>
                <w:szCs w:val="24"/>
              </w:rPr>
            </w:pPr>
          </w:p>
        </w:tc>
      </w:tr>
      <w:tr w14:paraId="440FDA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5C48BDF">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2</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AA61F26">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按时陪护、无脱岗睡岗</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D59A5B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8</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BFB9814">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发现一次扣4分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D84BAC1">
            <w:pPr>
              <w:jc w:val="center"/>
              <w:rPr>
                <w:rFonts w:hint="eastAsia" w:ascii="宋体"/>
                <w:sz w:val="24"/>
                <w:szCs w:val="24"/>
              </w:rPr>
            </w:pPr>
          </w:p>
        </w:tc>
      </w:tr>
      <w:tr w14:paraId="5B65A4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FAB992A">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3</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AC9D8DF">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生活照料到位、翻身清洁规范</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3E09FAE">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7</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6D0D1AF">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不到位一次扣2分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8EE41D0">
            <w:pPr>
              <w:jc w:val="center"/>
              <w:rPr>
                <w:rFonts w:hint="eastAsia" w:ascii="宋体"/>
                <w:sz w:val="24"/>
                <w:szCs w:val="24"/>
              </w:rPr>
            </w:pPr>
          </w:p>
        </w:tc>
      </w:tr>
      <w:tr w14:paraId="2088614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3516228">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4</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18D05F9">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陪检转运及时、配合医护工作</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2E410B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7</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F234471">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不配合一次扣2分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636F563">
            <w:pPr>
              <w:jc w:val="center"/>
              <w:rPr>
                <w:rFonts w:hint="eastAsia" w:ascii="宋体"/>
                <w:sz w:val="24"/>
                <w:szCs w:val="24"/>
              </w:rPr>
            </w:pPr>
          </w:p>
        </w:tc>
      </w:tr>
      <w:tr w14:paraId="63A2063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5000" w:type="pct"/>
            <w:gridSpan w:val="5"/>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2EB17D6C">
            <w:pPr>
              <w:keepNext w:val="0"/>
              <w:keepLines w:val="0"/>
              <w:widowControl/>
              <w:suppressLineNumbers w:val="0"/>
              <w:jc w:val="center"/>
              <w:textAlignment w:val="center"/>
              <w:rPr>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bidi="ar"/>
                <w14:textFill>
                  <w14:solidFill>
                    <w14:schemeClr w14:val="tx1"/>
                  </w14:solidFill>
                </w14:textFill>
              </w:rPr>
              <w:t>三、合规纪律（25分）</w:t>
            </w:r>
          </w:p>
        </w:tc>
      </w:tr>
      <w:tr w14:paraId="0C1EE5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9" w:hRule="exact"/>
        </w:trPr>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CF40A4E">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6847315">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b w:val="0"/>
                <w:bCs w:val="0"/>
                <w:color w:val="000000" w:themeColor="text1"/>
                <w:kern w:val="0"/>
                <w:sz w:val="24"/>
                <w:szCs w:val="24"/>
                <w:lang w:val="en-US" w:eastAsia="zh-CN" w:bidi="ar"/>
                <w14:textFill>
                  <w14:solidFill>
                    <w14:schemeClr w14:val="tx1"/>
                  </w14:solidFill>
                </w14:textFill>
              </w:rPr>
              <w:t>无私收费、无收红包（严格执行物价局定价及甲方书面确认价）</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85423F0">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10</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3C1350B">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查实直接0分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8F50F6F">
            <w:pPr>
              <w:jc w:val="center"/>
              <w:rPr>
                <w:rFonts w:hint="eastAsia" w:ascii="宋体"/>
                <w:sz w:val="24"/>
                <w:szCs w:val="24"/>
              </w:rPr>
            </w:pPr>
          </w:p>
        </w:tc>
      </w:tr>
      <w:tr w14:paraId="6C0ECB1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8A0B28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2</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6F3E428">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无医疗越权操作</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425D534">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10</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5E2260E">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查实直接0分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3DEFC55">
            <w:pPr>
              <w:jc w:val="center"/>
              <w:rPr>
                <w:rFonts w:hint="eastAsia" w:ascii="宋体"/>
                <w:sz w:val="24"/>
                <w:szCs w:val="24"/>
              </w:rPr>
            </w:pPr>
          </w:p>
        </w:tc>
      </w:tr>
      <w:tr w14:paraId="12B2CD5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12277E4">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3</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3F27784">
            <w:pPr>
              <w:keepNext w:val="0"/>
              <w:keepLines w:val="0"/>
              <w:widowControl/>
              <w:suppressLineNumbers w:val="0"/>
              <w:jc w:val="left"/>
              <w:textAlignment w:val="center"/>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无拍照传播、无隐私泄露</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BA1D3E8">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A66B70D">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违规0分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965236A">
            <w:pPr>
              <w:jc w:val="center"/>
              <w:rPr>
                <w:rFonts w:hint="eastAsia" w:ascii="宋体"/>
                <w:sz w:val="24"/>
                <w:szCs w:val="24"/>
              </w:rPr>
            </w:pPr>
          </w:p>
        </w:tc>
      </w:tr>
      <w:tr w14:paraId="0B37FF9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rPr>
          <w:trHeight w:val="357" w:hRule="atLeast"/>
        </w:trPr>
        <w:tc>
          <w:tcPr>
            <w:tcW w:w="5000" w:type="pct"/>
            <w:gridSpan w:val="5"/>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562E1970">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四、院感与卫生（10分）</w:t>
            </w:r>
          </w:p>
        </w:tc>
      </w:tr>
      <w:tr w14:paraId="260B170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4CC9F8D">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E8950E3">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遵守手卫生、院感规定</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E7A5A0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90C26BF">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不规范一次扣2分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326B4C9">
            <w:pPr>
              <w:jc w:val="center"/>
              <w:rPr>
                <w:rFonts w:hint="eastAsia" w:ascii="宋体"/>
                <w:sz w:val="24"/>
                <w:szCs w:val="24"/>
              </w:rPr>
            </w:pPr>
          </w:p>
        </w:tc>
      </w:tr>
      <w:tr w14:paraId="20BDED6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366428F">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2</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327D962">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床旁整洁、不占用通道</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5F49024">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4EC92A3">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脏乱一次扣2分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156AA679">
            <w:pPr>
              <w:jc w:val="center"/>
              <w:rPr>
                <w:rFonts w:hint="eastAsia" w:ascii="宋体"/>
                <w:sz w:val="24"/>
                <w:szCs w:val="24"/>
              </w:rPr>
            </w:pPr>
          </w:p>
        </w:tc>
      </w:tr>
      <w:tr w14:paraId="4E6305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5000" w:type="pct"/>
            <w:gridSpan w:val="5"/>
            <w:tcBorders>
              <w:top w:val="single" w:color="000000" w:sz="6" w:space="0"/>
              <w:left w:val="single" w:color="000000" w:sz="6" w:space="0"/>
              <w:bottom w:val="single" w:color="000000" w:sz="6" w:space="0"/>
              <w:right w:val="single" w:color="000000" w:sz="6" w:space="0"/>
            </w:tcBorders>
            <w:shd w:val="clear" w:color="auto" w:fill="F0F0F0"/>
            <w:tcMar>
              <w:top w:w="75" w:type="dxa"/>
              <w:left w:w="120" w:type="dxa"/>
              <w:bottom w:w="75" w:type="dxa"/>
              <w:right w:w="120" w:type="dxa"/>
            </w:tcMar>
            <w:vAlign w:val="center"/>
          </w:tcPr>
          <w:p w14:paraId="00C15B94">
            <w:pPr>
              <w:keepNext w:val="0"/>
              <w:keepLines w:val="0"/>
              <w:widowControl/>
              <w:suppressLineNumbers w:val="0"/>
              <w:jc w:val="center"/>
              <w:textAlignment w:val="center"/>
              <w:rPr>
                <w:b/>
                <w:bCs/>
                <w:sz w:val="24"/>
                <w:szCs w:val="24"/>
              </w:rPr>
            </w:pPr>
            <w:r>
              <w:rPr>
                <w:rFonts w:ascii="宋体" w:hAnsi="宋体" w:eastAsia="宋体" w:cs="宋体"/>
                <w:b/>
                <w:bCs/>
                <w:kern w:val="0"/>
                <w:sz w:val="24"/>
                <w:szCs w:val="24"/>
                <w:lang w:val="en-US" w:eastAsia="zh-CN" w:bidi="ar"/>
              </w:rPr>
              <w:t>五、应急与整改（10分）</w:t>
            </w:r>
          </w:p>
        </w:tc>
      </w:tr>
      <w:tr w14:paraId="6804D4A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B67D0CE">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1</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718E476C">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异常情况及时上报</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06D698C">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5AB0F9CC">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漏报一次扣3分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523E99E">
            <w:pPr>
              <w:jc w:val="center"/>
              <w:rPr>
                <w:rFonts w:hint="eastAsia" w:ascii="宋体"/>
                <w:sz w:val="24"/>
                <w:szCs w:val="24"/>
              </w:rPr>
            </w:pPr>
          </w:p>
        </w:tc>
      </w:tr>
      <w:tr w14:paraId="2A033A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0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519E218">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2</w:t>
            </w:r>
          </w:p>
        </w:tc>
        <w:tc>
          <w:tcPr>
            <w:tcW w:w="2329"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30E72924">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投诉整改及时、闭环到位</w:t>
            </w:r>
          </w:p>
        </w:tc>
        <w:tc>
          <w:tcPr>
            <w:tcW w:w="377"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2F99C483">
            <w:pPr>
              <w:keepNext w:val="0"/>
              <w:keepLines w:val="0"/>
              <w:widowControl/>
              <w:suppressLineNumbers w:val="0"/>
              <w:jc w:val="center"/>
              <w:textAlignment w:val="center"/>
              <w:rPr>
                <w:sz w:val="24"/>
                <w:szCs w:val="24"/>
              </w:rPr>
            </w:pPr>
            <w:r>
              <w:rPr>
                <w:rFonts w:ascii="宋体" w:hAnsi="宋体" w:eastAsia="宋体" w:cs="宋体"/>
                <w:kern w:val="0"/>
                <w:sz w:val="24"/>
                <w:szCs w:val="24"/>
                <w:lang w:val="en-US" w:eastAsia="zh-CN" w:bidi="ar"/>
              </w:rPr>
              <w:t>5</w:t>
            </w:r>
          </w:p>
        </w:tc>
        <w:tc>
          <w:tcPr>
            <w:tcW w:w="1344"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03F30D3D">
            <w:pPr>
              <w:keepNext w:val="0"/>
              <w:keepLines w:val="0"/>
              <w:widowControl/>
              <w:suppressLineNumbers w:val="0"/>
              <w:jc w:val="left"/>
              <w:textAlignment w:val="center"/>
              <w:rPr>
                <w:sz w:val="24"/>
                <w:szCs w:val="24"/>
              </w:rPr>
            </w:pPr>
            <w:r>
              <w:rPr>
                <w:rFonts w:ascii="宋体" w:hAnsi="宋体" w:eastAsia="宋体" w:cs="宋体"/>
                <w:kern w:val="0"/>
                <w:sz w:val="24"/>
                <w:szCs w:val="24"/>
                <w:lang w:val="en-US" w:eastAsia="zh-CN" w:bidi="ar"/>
              </w:rPr>
              <w:t>整改不到位一次扣3分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684163BD">
            <w:pPr>
              <w:jc w:val="center"/>
              <w:rPr>
                <w:rFonts w:hint="eastAsia" w:ascii="宋体"/>
                <w:sz w:val="24"/>
                <w:szCs w:val="24"/>
              </w:rPr>
            </w:pPr>
          </w:p>
        </w:tc>
      </w:tr>
      <w:tr w14:paraId="79E0850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15" w:type="dxa"/>
            <w:left w:w="15" w:type="dxa"/>
            <w:bottom w:w="15" w:type="dxa"/>
            <w:right w:w="15" w:type="dxa"/>
          </w:tblCellMar>
        </w:tblPrEx>
        <w:tc>
          <w:tcPr>
            <w:tcW w:w="4459" w:type="pct"/>
            <w:gridSpan w:val="4"/>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E4C2C74">
            <w:pPr>
              <w:keepNext w:val="0"/>
              <w:keepLines w:val="0"/>
              <w:widowControl/>
              <w:suppressLineNumbers w:val="0"/>
              <w:jc w:val="center"/>
              <w:textAlignment w:val="center"/>
              <w:rPr>
                <w:rFonts w:hint="default" w:ascii="宋体" w:hAnsi="宋体" w:eastAsia="宋体" w:cs="宋体"/>
                <w:kern w:val="0"/>
                <w:sz w:val="24"/>
                <w:szCs w:val="24"/>
                <w:lang w:val="en-US" w:eastAsia="zh-CN" w:bidi="ar"/>
              </w:rPr>
            </w:pPr>
            <w:r>
              <w:rPr>
                <w:rFonts w:hint="default" w:ascii="宋体" w:hAnsi="宋体" w:eastAsia="宋体" w:cs="宋体"/>
                <w:b/>
                <w:bCs/>
                <w:kern w:val="0"/>
                <w:sz w:val="24"/>
                <w:szCs w:val="24"/>
                <w:lang w:val="en-US" w:eastAsia="zh-CN" w:bidi="ar"/>
              </w:rPr>
              <w:t>总分</w:t>
            </w:r>
          </w:p>
        </w:tc>
        <w:tc>
          <w:tcPr>
            <w:tcW w:w="540" w:type="pct"/>
            <w:tcBorders>
              <w:top w:val="single" w:color="000000" w:sz="6" w:space="0"/>
              <w:left w:val="single" w:color="000000" w:sz="6" w:space="0"/>
              <w:bottom w:val="single" w:color="000000" w:sz="6" w:space="0"/>
              <w:right w:val="single" w:color="000000" w:sz="6" w:space="0"/>
            </w:tcBorders>
            <w:shd w:val="clear" w:color="auto" w:fill="auto"/>
            <w:tcMar>
              <w:top w:w="75" w:type="dxa"/>
              <w:left w:w="120" w:type="dxa"/>
              <w:bottom w:w="75" w:type="dxa"/>
              <w:right w:w="120" w:type="dxa"/>
            </w:tcMar>
            <w:vAlign w:val="center"/>
          </w:tcPr>
          <w:p w14:paraId="4AAA2283">
            <w:pPr>
              <w:jc w:val="center"/>
              <w:rPr>
                <w:rFonts w:hint="eastAsia" w:ascii="宋体"/>
                <w:sz w:val="24"/>
                <w:szCs w:val="24"/>
              </w:rPr>
            </w:pPr>
          </w:p>
        </w:tc>
      </w:tr>
    </w:tbl>
    <w:p w14:paraId="3107F218">
      <w:pPr>
        <w:pStyle w:val="4"/>
        <w:keepNext w:val="0"/>
        <w:keepLines w:val="0"/>
        <w:widowControl/>
        <w:suppressLineNumbers w:val="0"/>
        <w:spacing w:beforeAutospacing="0" w:afterAutospacing="0"/>
        <w:ind w:left="0" w:firstLine="0"/>
        <w:rPr>
          <w:rFonts w:hint="eastAsia" w:ascii="宋体" w:hAnsi="宋体" w:eastAsia="宋体" w:cs="宋体"/>
          <w:b/>
          <w:bCs/>
          <w:i w:val="0"/>
          <w:iCs w:val="0"/>
          <w:caps w:val="0"/>
          <w:color w:val="000000" w:themeColor="text1"/>
          <w:spacing w:val="0"/>
          <w:sz w:val="24"/>
          <w:szCs w:val="24"/>
          <w14:textFill>
            <w14:solidFill>
              <w14:schemeClr w14:val="tx1"/>
            </w14:solidFill>
          </w14:textFill>
        </w:rPr>
      </w:pPr>
    </w:p>
    <w:p w14:paraId="5862F507">
      <w:pPr>
        <w:pStyle w:val="4"/>
        <w:keepNext w:val="0"/>
        <w:keepLines w:val="0"/>
        <w:widowControl/>
        <w:suppressLineNumbers w:val="0"/>
        <w:spacing w:beforeAutospacing="0" w:afterAutospacing="0"/>
        <w:ind w:left="0" w:firstLine="0"/>
        <w:rPr>
          <w:rFonts w:hint="eastAsia" w:ascii="宋体" w:hAnsi="宋体" w:eastAsia="宋体" w:cs="宋体"/>
          <w:b/>
          <w:bCs/>
          <w:i w:val="0"/>
          <w:iCs w:val="0"/>
          <w:caps w:val="0"/>
          <w:color w:val="000000" w:themeColor="text1"/>
          <w:spacing w:val="0"/>
          <w:sz w:val="24"/>
          <w:szCs w:val="24"/>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14:textFill>
            <w14:solidFill>
              <w14:schemeClr w14:val="tx1"/>
            </w14:solidFill>
          </w14:textFill>
        </w:rPr>
        <w:t xml:space="preserve">考核人签字：________________    </w:t>
      </w: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被考核方</w:t>
      </w:r>
      <w:r>
        <w:rPr>
          <w:rFonts w:hint="eastAsia" w:ascii="宋体" w:hAnsi="宋体" w:eastAsia="宋体" w:cs="宋体"/>
          <w:b/>
          <w:bCs/>
          <w:i w:val="0"/>
          <w:iCs w:val="0"/>
          <w:caps w:val="0"/>
          <w:color w:val="000000" w:themeColor="text1"/>
          <w:spacing w:val="0"/>
          <w:sz w:val="24"/>
          <w:szCs w:val="24"/>
          <w14:textFill>
            <w14:solidFill>
              <w14:schemeClr w14:val="tx1"/>
            </w14:solidFill>
          </w14:textFill>
        </w:rPr>
        <w:t>负责人签字：________________</w:t>
      </w:r>
    </w:p>
    <w:p w14:paraId="60778EE8">
      <w:pPr>
        <w:pStyle w:val="4"/>
        <w:keepNext w:val="0"/>
        <w:keepLines w:val="0"/>
        <w:widowControl/>
        <w:suppressLineNumbers w:val="0"/>
        <w:spacing w:beforeAutospacing="0" w:afterAutospacing="0"/>
        <w:ind w:left="0" w:firstLine="0"/>
        <w:rPr>
          <w:rFonts w:hint="eastAsia" w:ascii="宋体" w:hAnsi="宋体" w:eastAsia="宋体" w:cs="宋体"/>
          <w:b/>
          <w:bCs/>
          <w:i w:val="0"/>
          <w:iCs w:val="0"/>
          <w:caps w:val="0"/>
          <w:color w:val="000000" w:themeColor="text1"/>
          <w:spacing w:val="0"/>
          <w:sz w:val="24"/>
          <w:szCs w:val="24"/>
          <w14:textFill>
            <w14:solidFill>
              <w14:schemeClr w14:val="tx1"/>
            </w14:solidFill>
          </w14:textFill>
        </w:rPr>
      </w:pPr>
    </w:p>
    <w:p w14:paraId="6DA040A2">
      <w:pPr>
        <w:pStyle w:val="4"/>
        <w:keepNext w:val="0"/>
        <w:keepLines w:val="0"/>
        <w:widowControl/>
        <w:suppressLineNumbers w:val="0"/>
        <w:spacing w:beforeAutospacing="0" w:afterAutospacing="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14:textFill>
            <w14:solidFill>
              <w14:schemeClr w14:val="tx1"/>
            </w14:solidFill>
          </w14:textFill>
        </w:rPr>
        <w:t>日期：______年____月____日</w:t>
      </w:r>
    </w:p>
    <w:p w14:paraId="09A7C71C">
      <w:pPr>
        <w:pStyle w:val="4"/>
        <w:keepNext w:val="0"/>
        <w:keepLines w:val="0"/>
        <w:pageBreakBefore w:val="0"/>
        <w:widowControl/>
        <w:suppressLineNumbers w:val="0"/>
        <w:kinsoku/>
        <w:wordWrap/>
        <w:overflowPunct/>
        <w:topLinePunct w:val="0"/>
        <w:autoSpaceDE/>
        <w:autoSpaceDN/>
        <w:bidi w:val="0"/>
        <w:adjustRightInd/>
        <w:snapToGrid/>
        <w:spacing w:line="576" w:lineRule="exact"/>
        <w:ind w:left="0" w:firstLine="0"/>
        <w:textAlignment w:val="auto"/>
        <w:rPr>
          <w:rFonts w:hint="default" w:ascii="宋体" w:hAnsi="宋体" w:eastAsia="宋体" w:cs="宋体"/>
          <w:b/>
          <w:bCs/>
          <w:i w:val="0"/>
          <w:iCs w:val="0"/>
          <w:caps w:val="0"/>
          <w:color w:val="000000" w:themeColor="text1"/>
          <w:spacing w:val="0"/>
          <w:sz w:val="32"/>
          <w:szCs w:val="32"/>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32"/>
          <w:szCs w:val="32"/>
          <w:lang w:val="en-US" w:eastAsia="zh-CN"/>
          <w14:textFill>
            <w14:solidFill>
              <w14:schemeClr w14:val="tx1"/>
            </w14:solidFill>
          </w14:textFill>
        </w:rPr>
        <w:t>考核标准：</w:t>
      </w:r>
    </w:p>
    <w:p w14:paraId="0EDE6609">
      <w:pPr>
        <w:pStyle w:val="4"/>
        <w:keepNext w:val="0"/>
        <w:keepLines w:val="0"/>
        <w:pageBreakBefore w:val="0"/>
        <w:widowControl/>
        <w:suppressLineNumbers w:val="0"/>
        <w:kinsoku/>
        <w:wordWrap/>
        <w:overflowPunct/>
        <w:topLinePunct w:val="0"/>
        <w:autoSpaceDE/>
        <w:autoSpaceDN/>
        <w:bidi w:val="0"/>
        <w:adjustRightInd/>
        <w:snapToGrid/>
        <w:spacing w:line="576" w:lineRule="exact"/>
        <w:ind w:left="0" w:firstLine="0"/>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 90分及以上：优秀，正常履约</w:t>
      </w:r>
    </w:p>
    <w:p w14:paraId="195675EB">
      <w:pPr>
        <w:pStyle w:val="4"/>
        <w:keepNext w:val="0"/>
        <w:keepLines w:val="0"/>
        <w:pageBreakBefore w:val="0"/>
        <w:widowControl/>
        <w:suppressLineNumbers w:val="0"/>
        <w:kinsoku/>
        <w:wordWrap/>
        <w:overflowPunct/>
        <w:topLinePunct w:val="0"/>
        <w:autoSpaceDE/>
        <w:autoSpaceDN/>
        <w:bidi w:val="0"/>
        <w:adjustRightInd/>
        <w:snapToGrid/>
        <w:spacing w:line="576" w:lineRule="exact"/>
        <w:ind w:left="0" w:firstLine="0"/>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 70--89分：合格，限期整改</w:t>
      </w:r>
    </w:p>
    <w:p w14:paraId="1A56D46C">
      <w:pPr>
        <w:pStyle w:val="4"/>
        <w:keepNext w:val="0"/>
        <w:keepLines w:val="0"/>
        <w:pageBreakBefore w:val="0"/>
        <w:widowControl/>
        <w:suppressLineNumbers w:val="0"/>
        <w:kinsoku/>
        <w:wordWrap/>
        <w:overflowPunct/>
        <w:topLinePunct w:val="0"/>
        <w:autoSpaceDE/>
        <w:autoSpaceDN/>
        <w:bidi w:val="0"/>
        <w:adjustRightInd/>
        <w:snapToGrid/>
        <w:spacing w:line="576" w:lineRule="exact"/>
        <w:ind w:left="0" w:firstLine="0"/>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 60--69分：不合格，约谈</w:t>
      </w:r>
    </w:p>
    <w:p w14:paraId="14F7B1DD">
      <w:pPr>
        <w:pStyle w:val="4"/>
        <w:keepNext w:val="0"/>
        <w:keepLines w:val="0"/>
        <w:pageBreakBefore w:val="0"/>
        <w:widowControl/>
        <w:suppressLineNumbers w:val="0"/>
        <w:kinsoku/>
        <w:wordWrap/>
        <w:overflowPunct/>
        <w:topLinePunct w:val="0"/>
        <w:autoSpaceDE/>
        <w:autoSpaceDN/>
        <w:bidi w:val="0"/>
        <w:adjustRightInd/>
        <w:snapToGrid/>
        <w:spacing w:line="576" w:lineRule="exact"/>
        <w:ind w:left="0" w:firstLine="0"/>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4. 60分以下：不合格。限期整改，整改期通常为一个月。连续两个月考核得分均在60分以下，或累计三个月考核得分低于70分，视其为严重违约，采购人有权采取相应措施，包括但不限于约谈警告，直至单方终止协议。</w:t>
      </w:r>
    </w:p>
    <w:p w14:paraId="300B2D69"/>
    <w:p w14:paraId="63799328">
      <w:pPr>
        <w:rPr>
          <w:rFonts w:hint="default"/>
          <w:b w:val="0"/>
          <w:bCs w:val="0"/>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30859B-CA05-4B85-A327-F895FAB1B5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0B84FE0-6053-4085-88B3-ADCC84598E9C}"/>
  </w:font>
  <w:font w:name="方正小标宋简体">
    <w:panose1 w:val="02000000000000000000"/>
    <w:charset w:val="86"/>
    <w:family w:val="auto"/>
    <w:pitch w:val="default"/>
    <w:sig w:usb0="00000001" w:usb1="08000000" w:usb2="00000000" w:usb3="00000000" w:csb0="00040000" w:csb1="00000000"/>
    <w:embedRegular r:id="rId3" w:fontKey="{AE968192-0497-4A18-913D-D2FBCB568DC0}"/>
  </w:font>
  <w:font w:name="仿宋_GB2312">
    <w:panose1 w:val="02010609030101010101"/>
    <w:charset w:val="86"/>
    <w:family w:val="auto"/>
    <w:pitch w:val="default"/>
    <w:sig w:usb0="00000001" w:usb1="080E0000" w:usb2="00000000" w:usb3="00000000" w:csb0="00040000" w:csb1="00000000"/>
    <w:embedRegular r:id="rId4" w:fontKey="{4BC2167C-72D3-4F3D-A52A-22F59EA80FBA}"/>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755E46"/>
    <w:multiLevelType w:val="singleLevel"/>
    <w:tmpl w:val="70755E4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3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14B5D"/>
    <w:rsid w:val="12B40BC7"/>
    <w:rsid w:val="14B856D1"/>
    <w:rsid w:val="22181386"/>
    <w:rsid w:val="25D976A3"/>
    <w:rsid w:val="47514B5D"/>
    <w:rsid w:val="6DD64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3108</Words>
  <Characters>3155</Characters>
  <Lines>0</Lines>
  <Paragraphs>0</Paragraphs>
  <TotalTime>10</TotalTime>
  <ScaleCrop>false</ScaleCrop>
  <LinksUpToDate>false</LinksUpToDate>
  <CharactersWithSpaces>3186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2026-08-11T06:59:00Z</dcterms:created>
  <dc:creator>真知鱼</dc:creator>
  <cp:lastModifiedBy>余知恩</cp:lastModifiedBy>
  <dcterms:modified xsi:type="dcterms:W3CDTF">2026-08-15T10:43:22Z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D1BC8DCD8359440E9B2AD0C182F3C0DE_11</vt:lpwstr>
  </property>
  <property fmtid="{D5CDD505-2E9C-101B-9397-08002B2CF9AE}" pid="4" name="KSOTemplateDocerSaveRecord">
    <vt:lpwstr>eyJoZGlkIjoiMTkzMzM1NDViNTYwOTNjZDZhOTkwOWVkMjUyYjBlZWMiLCJ1c2VySWQiOiIxNDYxNTEwNzczIn0=</vt:lpwstr>
  </property>
</Properties>
</file>